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668" w:rsidRPr="00905832" w:rsidRDefault="00EE7668" w:rsidP="00F52D26">
      <w:pPr>
        <w:spacing w:line="480" w:lineRule="auto"/>
        <w:jc w:val="right"/>
        <w:rPr>
          <w:sz w:val="25"/>
          <w:szCs w:val="25"/>
        </w:rPr>
      </w:pPr>
      <w:r w:rsidRPr="00905832">
        <w:rPr>
          <w:sz w:val="25"/>
          <w:szCs w:val="25"/>
        </w:rPr>
        <w:t>Jimmy Trinh</w:t>
      </w:r>
    </w:p>
    <w:p w:rsidR="00EE7668" w:rsidRPr="00905832" w:rsidRDefault="00EE7668" w:rsidP="00F52D26">
      <w:pPr>
        <w:spacing w:line="480" w:lineRule="auto"/>
        <w:jc w:val="right"/>
        <w:rPr>
          <w:sz w:val="25"/>
          <w:szCs w:val="25"/>
        </w:rPr>
      </w:pPr>
      <w:r w:rsidRPr="00905832">
        <w:rPr>
          <w:sz w:val="25"/>
          <w:szCs w:val="25"/>
        </w:rPr>
        <w:t>Bio 1615</w:t>
      </w:r>
    </w:p>
    <w:p w:rsidR="00EE7668" w:rsidRPr="00905832" w:rsidRDefault="00EE7668" w:rsidP="00F52D26">
      <w:pPr>
        <w:spacing w:line="480" w:lineRule="auto"/>
        <w:jc w:val="right"/>
        <w:rPr>
          <w:sz w:val="25"/>
          <w:szCs w:val="25"/>
        </w:rPr>
      </w:pPr>
    </w:p>
    <w:p w:rsidR="00130317" w:rsidRPr="00905832" w:rsidRDefault="00130317" w:rsidP="00F52D26">
      <w:pPr>
        <w:spacing w:line="480" w:lineRule="auto"/>
        <w:jc w:val="center"/>
        <w:rPr>
          <w:sz w:val="25"/>
          <w:szCs w:val="25"/>
        </w:rPr>
      </w:pPr>
      <w:r w:rsidRPr="00905832">
        <w:rPr>
          <w:sz w:val="25"/>
          <w:szCs w:val="25"/>
        </w:rPr>
        <w:t xml:space="preserve">Ageing </w:t>
      </w:r>
      <w:r w:rsidR="00461B7D" w:rsidRPr="00905832">
        <w:rPr>
          <w:sz w:val="25"/>
          <w:szCs w:val="25"/>
        </w:rPr>
        <w:t xml:space="preserve">in </w:t>
      </w:r>
      <w:r w:rsidR="00F52D26" w:rsidRPr="00905832">
        <w:rPr>
          <w:sz w:val="25"/>
          <w:szCs w:val="25"/>
        </w:rPr>
        <w:t>primate’s</w:t>
      </w:r>
      <w:r w:rsidR="00461B7D" w:rsidRPr="00905832">
        <w:rPr>
          <w:sz w:val="25"/>
          <w:szCs w:val="25"/>
        </w:rPr>
        <w:t xml:space="preserve"> brain</w:t>
      </w:r>
    </w:p>
    <w:p w:rsidR="00130317" w:rsidRPr="00905832" w:rsidRDefault="00E9703A" w:rsidP="003B100C">
      <w:pPr>
        <w:spacing w:line="480" w:lineRule="auto"/>
        <w:ind w:firstLine="720"/>
        <w:rPr>
          <w:sz w:val="25"/>
          <w:szCs w:val="25"/>
        </w:rPr>
      </w:pPr>
      <w:r w:rsidRPr="00905832">
        <w:rPr>
          <w:sz w:val="25"/>
          <w:szCs w:val="25"/>
        </w:rPr>
        <w:t> </w:t>
      </w:r>
      <w:r w:rsidR="00F52D26" w:rsidRPr="00905832">
        <w:rPr>
          <w:sz w:val="25"/>
          <w:szCs w:val="25"/>
        </w:rPr>
        <w:t>Ageing or</w:t>
      </w:r>
      <w:r w:rsidRPr="00905832">
        <w:rPr>
          <w:sz w:val="25"/>
          <w:szCs w:val="25"/>
        </w:rPr>
        <w:t xml:space="preserve"> </w:t>
      </w:r>
      <w:r w:rsidR="00F52D26" w:rsidRPr="00905832">
        <w:rPr>
          <w:sz w:val="25"/>
          <w:szCs w:val="25"/>
        </w:rPr>
        <w:t>aging is</w:t>
      </w:r>
      <w:r w:rsidRPr="00905832">
        <w:rPr>
          <w:sz w:val="25"/>
          <w:szCs w:val="25"/>
        </w:rPr>
        <w:t xml:space="preserve"> the accumulation of changes in a person over time. Ageing in humans refers to a multidimensional process of physical, psychological, and social change. Some dimensions of ageing grow and expand over time, while others decline. Reaction time, for example, may slow with age, while knowledge of world events and wisdom may expand.</w:t>
      </w:r>
    </w:p>
    <w:p w:rsidR="00E9703A" w:rsidRPr="00905832" w:rsidRDefault="00E9703A" w:rsidP="00F52D26">
      <w:pPr>
        <w:spacing w:line="480" w:lineRule="auto"/>
        <w:rPr>
          <w:sz w:val="25"/>
          <w:szCs w:val="25"/>
        </w:rPr>
      </w:pPr>
      <w:r w:rsidRPr="00905832">
        <w:rPr>
          <w:sz w:val="25"/>
          <w:szCs w:val="25"/>
        </w:rPr>
        <w:tab/>
        <w:t xml:space="preserve">In the research article the scientist </w:t>
      </w:r>
      <w:r w:rsidRPr="00905832">
        <w:rPr>
          <w:color w:val="303030"/>
          <w:sz w:val="25"/>
          <w:szCs w:val="25"/>
        </w:rPr>
        <w:t xml:space="preserve">test whether different regions of the human brain show similar patterns of change with age. </w:t>
      </w:r>
      <w:r w:rsidR="00FF737C" w:rsidRPr="00905832">
        <w:rPr>
          <w:color w:val="303030"/>
          <w:sz w:val="25"/>
          <w:szCs w:val="25"/>
        </w:rPr>
        <w:t>In this study, researchers</w:t>
      </w:r>
      <w:r w:rsidR="000E386F" w:rsidRPr="00905832">
        <w:rPr>
          <w:color w:val="303030"/>
          <w:sz w:val="25"/>
          <w:szCs w:val="25"/>
        </w:rPr>
        <w:t xml:space="preserve"> have made three main observations: First, aging-related gene expression changes are similar throughout all five tested regions of the human cerebral cortex. Second, this pattern of human cortex aging is not found in cerebellum or caudate nucleus, and at least in cerebellum this appears to be due to far fewer genes changing expression with age. Third, although chimpanzee cortex has a reproducible pattern of expression changes with </w:t>
      </w:r>
      <w:r w:rsidR="00F52D26" w:rsidRPr="00905832">
        <w:rPr>
          <w:color w:val="303030"/>
          <w:sz w:val="25"/>
          <w:szCs w:val="25"/>
        </w:rPr>
        <w:t>age;</w:t>
      </w:r>
      <w:r w:rsidR="000E386F" w:rsidRPr="00905832">
        <w:rPr>
          <w:color w:val="303030"/>
          <w:sz w:val="25"/>
          <w:szCs w:val="25"/>
        </w:rPr>
        <w:t xml:space="preserve"> it shares no detectable similarity with the aging pattern in human cortex.</w:t>
      </w:r>
    </w:p>
    <w:p w:rsidR="00EE7668" w:rsidRPr="00905832" w:rsidRDefault="000E386F" w:rsidP="00F52D26">
      <w:pPr>
        <w:spacing w:line="480" w:lineRule="auto"/>
        <w:rPr>
          <w:sz w:val="25"/>
          <w:szCs w:val="25"/>
        </w:rPr>
      </w:pPr>
      <w:r w:rsidRPr="00905832">
        <w:rPr>
          <w:sz w:val="25"/>
          <w:szCs w:val="25"/>
        </w:rPr>
        <w:tab/>
        <w:t xml:space="preserve">The </w:t>
      </w:r>
      <w:r w:rsidR="000473BB" w:rsidRPr="00905832">
        <w:rPr>
          <w:sz w:val="25"/>
          <w:szCs w:val="25"/>
        </w:rPr>
        <w:t>method that was</w:t>
      </w:r>
      <w:r w:rsidRPr="00905832">
        <w:rPr>
          <w:sz w:val="25"/>
          <w:szCs w:val="25"/>
        </w:rPr>
        <w:t xml:space="preserve"> used was the chimpanzee p</w:t>
      </w:r>
      <w:r w:rsidR="005927DA" w:rsidRPr="00905832">
        <w:rPr>
          <w:sz w:val="25"/>
          <w:szCs w:val="25"/>
        </w:rPr>
        <w:t xml:space="preserve">ostmortem samples were obtained. The total RNA was isolated from approximately 50 mg of frozen tissue using the </w:t>
      </w:r>
      <w:proofErr w:type="spellStart"/>
      <w:r w:rsidR="005927DA" w:rsidRPr="00905832">
        <w:rPr>
          <w:sz w:val="25"/>
          <w:szCs w:val="25"/>
        </w:rPr>
        <w:t>TRIZol</w:t>
      </w:r>
      <w:proofErr w:type="spellEnd"/>
      <w:r w:rsidR="005927DA" w:rsidRPr="00905832">
        <w:rPr>
          <w:sz w:val="25"/>
          <w:szCs w:val="25"/>
        </w:rPr>
        <w:t xml:space="preserve"> reagent according to</w:t>
      </w:r>
      <w:r w:rsidR="000473BB" w:rsidRPr="00905832">
        <w:rPr>
          <w:sz w:val="25"/>
          <w:szCs w:val="25"/>
        </w:rPr>
        <w:t xml:space="preserve"> manufacturer's </w:t>
      </w:r>
      <w:proofErr w:type="gramStart"/>
      <w:r w:rsidR="000473BB" w:rsidRPr="00905832">
        <w:rPr>
          <w:sz w:val="25"/>
          <w:szCs w:val="25"/>
        </w:rPr>
        <w:t xml:space="preserve">instructions </w:t>
      </w:r>
      <w:r w:rsidR="005927DA" w:rsidRPr="00905832">
        <w:rPr>
          <w:sz w:val="25"/>
          <w:szCs w:val="25"/>
        </w:rPr>
        <w:t> </w:t>
      </w:r>
      <w:proofErr w:type="gramEnd"/>
      <w:sdt>
        <w:sdtPr>
          <w:rPr>
            <w:sz w:val="25"/>
            <w:szCs w:val="25"/>
          </w:rPr>
          <w:id w:val="84782113"/>
          <w:citation/>
        </w:sdtPr>
        <w:sdtContent>
          <w:r w:rsidR="005927DA" w:rsidRPr="00905832">
            <w:rPr>
              <w:sz w:val="25"/>
              <w:szCs w:val="25"/>
            </w:rPr>
            <w:fldChar w:fldCharType="begin"/>
          </w:r>
          <w:r w:rsidR="005927DA" w:rsidRPr="00905832">
            <w:rPr>
              <w:sz w:val="25"/>
              <w:szCs w:val="25"/>
            </w:rPr>
            <w:instrText xml:space="preserve"> CITATION Hun12 \l 1033 </w:instrText>
          </w:r>
          <w:r w:rsidR="005927DA" w:rsidRPr="00905832">
            <w:rPr>
              <w:sz w:val="25"/>
              <w:szCs w:val="25"/>
            </w:rPr>
            <w:fldChar w:fldCharType="separate"/>
          </w:r>
          <w:r w:rsidR="005927DA" w:rsidRPr="00905832">
            <w:rPr>
              <w:noProof/>
              <w:sz w:val="25"/>
              <w:szCs w:val="25"/>
            </w:rPr>
            <w:t>(Hunter B. Fraser)</w:t>
          </w:r>
          <w:r w:rsidR="005927DA" w:rsidRPr="00905832">
            <w:rPr>
              <w:sz w:val="25"/>
              <w:szCs w:val="25"/>
            </w:rPr>
            <w:fldChar w:fldCharType="end"/>
          </w:r>
        </w:sdtContent>
      </w:sdt>
    </w:p>
    <w:p w:rsidR="005927DA" w:rsidRPr="00905832" w:rsidRDefault="00461B7D" w:rsidP="005927DA">
      <w:pPr>
        <w:spacing w:line="480" w:lineRule="auto"/>
        <w:ind w:firstLine="720"/>
        <w:rPr>
          <w:sz w:val="25"/>
          <w:szCs w:val="25"/>
        </w:rPr>
      </w:pPr>
      <w:r w:rsidRPr="00905832">
        <w:rPr>
          <w:sz w:val="25"/>
          <w:szCs w:val="25"/>
        </w:rPr>
        <w:t xml:space="preserve">The results was that only three samples of two ages were available for each brain region in this dataset, only three general aging patterns were possible. Which </w:t>
      </w:r>
      <w:r w:rsidR="00F52D26" w:rsidRPr="00905832">
        <w:rPr>
          <w:sz w:val="25"/>
          <w:szCs w:val="25"/>
        </w:rPr>
        <w:t>were up regu</w:t>
      </w:r>
      <w:r w:rsidRPr="00905832">
        <w:rPr>
          <w:sz w:val="25"/>
          <w:szCs w:val="25"/>
        </w:rPr>
        <w:t xml:space="preserve">lation, down regulations or </w:t>
      </w:r>
      <w:proofErr w:type="gramStart"/>
      <w:r w:rsidRPr="00905832">
        <w:rPr>
          <w:sz w:val="25"/>
          <w:szCs w:val="25"/>
        </w:rPr>
        <w:t>neithe</w:t>
      </w:r>
      <w:r w:rsidR="000473BB" w:rsidRPr="00905832">
        <w:rPr>
          <w:sz w:val="25"/>
          <w:szCs w:val="25"/>
        </w:rPr>
        <w:t>r.</w:t>
      </w:r>
      <w:proofErr w:type="gramEnd"/>
      <w:r w:rsidR="000473BB" w:rsidRPr="00905832">
        <w:rPr>
          <w:sz w:val="25"/>
          <w:szCs w:val="25"/>
        </w:rPr>
        <w:t xml:space="preserve"> There was also shown</w:t>
      </w:r>
      <w:r w:rsidR="00F52D26" w:rsidRPr="00905832">
        <w:rPr>
          <w:sz w:val="25"/>
          <w:szCs w:val="25"/>
        </w:rPr>
        <w:t xml:space="preserve"> the same direction of change in each of six other brain regions. </w:t>
      </w:r>
    </w:p>
    <w:p w:rsidR="00EE7668" w:rsidRPr="00905832" w:rsidRDefault="00F52D26" w:rsidP="005927DA">
      <w:pPr>
        <w:spacing w:line="480" w:lineRule="auto"/>
        <w:ind w:firstLine="720"/>
        <w:rPr>
          <w:rStyle w:val="apple-converted-space"/>
          <w:color w:val="303030"/>
          <w:sz w:val="25"/>
          <w:szCs w:val="25"/>
        </w:rPr>
      </w:pPr>
      <w:r w:rsidRPr="00905832">
        <w:rPr>
          <w:sz w:val="25"/>
          <w:szCs w:val="25"/>
        </w:rPr>
        <w:lastRenderedPageBreak/>
        <w:t xml:space="preserve">The </w:t>
      </w:r>
      <w:r w:rsidR="000473BB" w:rsidRPr="00905832">
        <w:rPr>
          <w:sz w:val="25"/>
          <w:szCs w:val="25"/>
        </w:rPr>
        <w:t>results that were</w:t>
      </w:r>
      <w:r w:rsidRPr="00905832">
        <w:rPr>
          <w:sz w:val="25"/>
          <w:szCs w:val="25"/>
        </w:rPr>
        <w:t xml:space="preserve"> conducted show that the </w:t>
      </w:r>
      <w:r w:rsidR="000473BB" w:rsidRPr="00905832">
        <w:rPr>
          <w:sz w:val="25"/>
          <w:szCs w:val="25"/>
        </w:rPr>
        <w:t>primate’s</w:t>
      </w:r>
      <w:r w:rsidRPr="00905832">
        <w:rPr>
          <w:sz w:val="25"/>
          <w:szCs w:val="25"/>
        </w:rPr>
        <w:t xml:space="preserve"> brain aged much more differently than human brains. </w:t>
      </w:r>
      <w:r w:rsidR="00EE7668" w:rsidRPr="00905832">
        <w:rPr>
          <w:sz w:val="25"/>
          <w:szCs w:val="25"/>
        </w:rPr>
        <w:t xml:space="preserve"> </w:t>
      </w:r>
      <w:r w:rsidRPr="00905832">
        <w:rPr>
          <w:color w:val="303030"/>
          <w:sz w:val="25"/>
          <w:szCs w:val="25"/>
        </w:rPr>
        <w:t xml:space="preserve">The </w:t>
      </w:r>
      <w:r w:rsidR="000473BB" w:rsidRPr="00905832">
        <w:rPr>
          <w:color w:val="303030"/>
          <w:sz w:val="25"/>
          <w:szCs w:val="25"/>
        </w:rPr>
        <w:t>research also concludes</w:t>
      </w:r>
      <w:r w:rsidRPr="00905832">
        <w:rPr>
          <w:color w:val="303030"/>
          <w:sz w:val="25"/>
          <w:szCs w:val="25"/>
        </w:rPr>
        <w:t xml:space="preserve"> that chimpanzee cortex has a reproducible pattern of aging-associated gene expression changes, but this pattern is completely different from that of human cortex.</w:t>
      </w:r>
      <w:r w:rsidRPr="00905832">
        <w:rPr>
          <w:rStyle w:val="apple-converted-space"/>
          <w:color w:val="303030"/>
          <w:sz w:val="25"/>
          <w:szCs w:val="25"/>
        </w:rPr>
        <w:t xml:space="preserve">  The scientist also </w:t>
      </w:r>
      <w:r w:rsidR="000473BB" w:rsidRPr="00905832">
        <w:rPr>
          <w:rStyle w:val="apple-converted-space"/>
          <w:color w:val="303030"/>
          <w:sz w:val="25"/>
          <w:szCs w:val="25"/>
        </w:rPr>
        <w:t>concluded is</w:t>
      </w:r>
      <w:r w:rsidRPr="00905832">
        <w:rPr>
          <w:color w:val="303030"/>
          <w:sz w:val="25"/>
          <w:szCs w:val="25"/>
        </w:rPr>
        <w:t xml:space="preserve"> that the difference is actually due to the different environments experienced by the humans and chimpanzees during their lifetimes, and is not due to any intrinsic differences between these species.</w:t>
      </w:r>
      <w:r w:rsidRPr="00905832">
        <w:rPr>
          <w:rStyle w:val="apple-converted-space"/>
          <w:color w:val="303030"/>
          <w:sz w:val="25"/>
          <w:szCs w:val="25"/>
        </w:rPr>
        <w:t> </w:t>
      </w:r>
    </w:p>
    <w:p w:rsidR="00850339" w:rsidRPr="00905832" w:rsidRDefault="00850339" w:rsidP="005927DA">
      <w:pPr>
        <w:spacing w:line="480" w:lineRule="auto"/>
        <w:ind w:firstLine="720"/>
        <w:rPr>
          <w:rStyle w:val="apple-converted-space"/>
          <w:color w:val="303030"/>
          <w:sz w:val="25"/>
          <w:szCs w:val="25"/>
        </w:rPr>
      </w:pPr>
      <w:r w:rsidRPr="00905832">
        <w:rPr>
          <w:rStyle w:val="apple-converted-space"/>
          <w:color w:val="303030"/>
          <w:sz w:val="25"/>
          <w:szCs w:val="25"/>
        </w:rPr>
        <w:t xml:space="preserve">In conclusion, the human brain compared to the </w:t>
      </w:r>
      <w:proofErr w:type="gramStart"/>
      <w:r w:rsidRPr="00905832">
        <w:rPr>
          <w:rStyle w:val="apple-converted-space"/>
          <w:color w:val="303030"/>
          <w:sz w:val="25"/>
          <w:szCs w:val="25"/>
        </w:rPr>
        <w:t>chimpanzees</w:t>
      </w:r>
      <w:proofErr w:type="gramEnd"/>
      <w:r w:rsidRPr="00905832">
        <w:rPr>
          <w:rStyle w:val="apple-converted-space"/>
          <w:color w:val="303030"/>
          <w:sz w:val="25"/>
          <w:szCs w:val="25"/>
        </w:rPr>
        <w:t xml:space="preserve"> brain of aging is different because each of the individuals are different. Not only are they different but they have a different amount level of stress, diets and environments that they live in causing the brain to react differently. Also, each individual handles a different amount of stress. </w:t>
      </w:r>
    </w:p>
    <w:p w:rsidR="00557932" w:rsidRPr="00905832" w:rsidRDefault="00557932" w:rsidP="005927DA">
      <w:pPr>
        <w:spacing w:line="480" w:lineRule="auto"/>
        <w:ind w:firstLine="720"/>
        <w:rPr>
          <w:sz w:val="25"/>
          <w:szCs w:val="25"/>
        </w:rPr>
      </w:pPr>
      <w:r w:rsidRPr="00905832">
        <w:rPr>
          <w:rStyle w:val="apple-converted-space"/>
          <w:color w:val="303030"/>
          <w:sz w:val="25"/>
          <w:szCs w:val="25"/>
        </w:rPr>
        <w:t xml:space="preserve">I believe that the results from </w:t>
      </w:r>
      <w:proofErr w:type="gramStart"/>
      <w:r w:rsidRPr="00905832">
        <w:rPr>
          <w:rStyle w:val="apple-converted-space"/>
          <w:color w:val="303030"/>
          <w:sz w:val="25"/>
          <w:szCs w:val="25"/>
        </w:rPr>
        <w:t>this experiments</w:t>
      </w:r>
      <w:proofErr w:type="gramEnd"/>
      <w:r w:rsidRPr="00905832">
        <w:rPr>
          <w:rStyle w:val="apple-converted-space"/>
          <w:color w:val="303030"/>
          <w:sz w:val="25"/>
          <w:szCs w:val="25"/>
        </w:rPr>
        <w:t xml:space="preserve"> weren’t shocking because, even though chimpanzee’s and humans are almost similar the results of the brain aging is different.  Everyone and everything is unique and different in </w:t>
      </w:r>
      <w:r w:rsidR="00905832" w:rsidRPr="00905832">
        <w:rPr>
          <w:rStyle w:val="apple-converted-space"/>
          <w:color w:val="303030"/>
          <w:sz w:val="25"/>
          <w:szCs w:val="25"/>
        </w:rPr>
        <w:t>its</w:t>
      </w:r>
      <w:r w:rsidRPr="00905832">
        <w:rPr>
          <w:rStyle w:val="apple-converted-space"/>
          <w:color w:val="303030"/>
          <w:sz w:val="25"/>
          <w:szCs w:val="25"/>
        </w:rPr>
        <w:t xml:space="preserve"> own way</w:t>
      </w:r>
      <w:r w:rsidR="00905832" w:rsidRPr="00905832">
        <w:rPr>
          <w:rStyle w:val="apple-converted-space"/>
          <w:color w:val="303030"/>
          <w:sz w:val="25"/>
          <w:szCs w:val="25"/>
        </w:rPr>
        <w:t xml:space="preserve">, whereas every individual thinks </w:t>
      </w:r>
      <w:r w:rsidRPr="00905832">
        <w:rPr>
          <w:rStyle w:val="apple-converted-space"/>
          <w:color w:val="303030"/>
          <w:sz w:val="25"/>
          <w:szCs w:val="25"/>
        </w:rPr>
        <w:t xml:space="preserve">differently resulting in different brain aging. </w:t>
      </w:r>
      <w:r w:rsidR="00905832" w:rsidRPr="00905832">
        <w:rPr>
          <w:rStyle w:val="apple-converted-space"/>
          <w:color w:val="303030"/>
          <w:sz w:val="25"/>
          <w:szCs w:val="25"/>
        </w:rPr>
        <w:t xml:space="preserve"> Also, I found that this experiment was hard to control because of the chimpanzee’s that they caught were mostly in the wild which means the age of the chimp was rounded to a number as well as the stress level was unknown. </w:t>
      </w:r>
    </w:p>
    <w:p w:rsidR="00A05D77" w:rsidRPr="00905832" w:rsidRDefault="00A05D77" w:rsidP="00F52D26">
      <w:pPr>
        <w:spacing w:line="480" w:lineRule="auto"/>
        <w:rPr>
          <w:sz w:val="25"/>
          <w:szCs w:val="25"/>
        </w:rPr>
      </w:pPr>
    </w:p>
    <w:p w:rsidR="00A05D77" w:rsidRPr="00905832" w:rsidRDefault="00A05D77" w:rsidP="00F52D26">
      <w:pPr>
        <w:spacing w:line="480" w:lineRule="auto"/>
        <w:rPr>
          <w:sz w:val="25"/>
          <w:szCs w:val="25"/>
        </w:rPr>
      </w:pPr>
    </w:p>
    <w:p w:rsidR="00A05D77" w:rsidRPr="00905832" w:rsidRDefault="00A05D77" w:rsidP="00F52D26">
      <w:pPr>
        <w:spacing w:line="480" w:lineRule="auto"/>
        <w:rPr>
          <w:sz w:val="25"/>
          <w:szCs w:val="25"/>
        </w:rPr>
      </w:pPr>
    </w:p>
    <w:sdt>
      <w:sdtPr>
        <w:rPr>
          <w:rFonts w:ascii="Times New Roman" w:hAnsi="Times New Roman" w:cs="Times New Roman"/>
          <w:sz w:val="25"/>
          <w:szCs w:val="25"/>
        </w:rPr>
        <w:id w:val="84782082"/>
        <w:docPartObj>
          <w:docPartGallery w:val="Bibliographies"/>
          <w:docPartUnique/>
        </w:docPartObj>
      </w:sdtPr>
      <w:sdtEndPr>
        <w:rPr>
          <w:rFonts w:eastAsia="SimSun"/>
          <w:b w:val="0"/>
          <w:bCs w:val="0"/>
          <w:color w:val="auto"/>
          <w:lang w:eastAsia="zh-CN" w:bidi="ar-SA"/>
        </w:rPr>
      </w:sdtEndPr>
      <w:sdtContent>
        <w:p w:rsidR="00A05D77" w:rsidRPr="00905832" w:rsidRDefault="00A05D77" w:rsidP="00A05D77">
          <w:pPr>
            <w:pStyle w:val="Heading1"/>
            <w:rPr>
              <w:rFonts w:ascii="Times New Roman" w:hAnsi="Times New Roman" w:cs="Times New Roman"/>
              <w:sz w:val="25"/>
              <w:szCs w:val="25"/>
            </w:rPr>
          </w:pPr>
        </w:p>
        <w:sdt>
          <w:sdtPr>
            <w:rPr>
              <w:rFonts w:ascii="Times New Roman" w:hAnsi="Times New Roman" w:cs="Times New Roman"/>
              <w:sz w:val="25"/>
              <w:szCs w:val="25"/>
            </w:rPr>
            <w:id w:val="84782104"/>
            <w:docPartObj>
              <w:docPartGallery w:val="Bibliographies"/>
              <w:docPartUnique/>
            </w:docPartObj>
          </w:sdtPr>
          <w:sdtEndPr>
            <w:rPr>
              <w:rFonts w:eastAsia="SimSun"/>
              <w:b w:val="0"/>
              <w:bCs w:val="0"/>
              <w:color w:val="auto"/>
              <w:lang w:eastAsia="zh-CN" w:bidi="ar-SA"/>
            </w:rPr>
          </w:sdtEndPr>
          <w:sdtContent>
            <w:p w:rsidR="00A05D77" w:rsidRPr="00905832" w:rsidRDefault="00A05D77" w:rsidP="00A05D77">
              <w:pPr>
                <w:pStyle w:val="Heading1"/>
                <w:jc w:val="center"/>
                <w:rPr>
                  <w:rFonts w:ascii="Times New Roman" w:hAnsi="Times New Roman" w:cs="Times New Roman"/>
                  <w:sz w:val="25"/>
                  <w:szCs w:val="25"/>
                </w:rPr>
              </w:pPr>
              <w:r w:rsidRPr="00905832">
                <w:rPr>
                  <w:rFonts w:ascii="Times New Roman" w:hAnsi="Times New Roman" w:cs="Times New Roman"/>
                  <w:sz w:val="25"/>
                  <w:szCs w:val="25"/>
                </w:rPr>
                <w:t>Bibliography</w:t>
              </w:r>
            </w:p>
            <w:p w:rsidR="00A05D77" w:rsidRPr="00905832" w:rsidRDefault="00A05D77" w:rsidP="00A05D77">
              <w:pPr>
                <w:rPr>
                  <w:sz w:val="25"/>
                  <w:szCs w:val="25"/>
                  <w:lang w:eastAsia="en-US" w:bidi="en-US"/>
                </w:rPr>
              </w:pPr>
            </w:p>
            <w:sdt>
              <w:sdtPr>
                <w:rPr>
                  <w:sz w:val="25"/>
                  <w:szCs w:val="25"/>
                </w:rPr>
                <w:id w:val="111145805"/>
                <w:bibliography/>
              </w:sdtPr>
              <w:sdtContent>
                <w:p w:rsidR="00A05D77" w:rsidRPr="00905832" w:rsidRDefault="00A05D77" w:rsidP="00A05D77">
                  <w:pPr>
                    <w:pStyle w:val="Bibliography"/>
                    <w:spacing w:line="480" w:lineRule="auto"/>
                    <w:rPr>
                      <w:noProof/>
                      <w:sz w:val="25"/>
                      <w:szCs w:val="25"/>
                    </w:rPr>
                  </w:pPr>
                  <w:r w:rsidRPr="00905832">
                    <w:rPr>
                      <w:sz w:val="25"/>
                      <w:szCs w:val="25"/>
                    </w:rPr>
                    <w:fldChar w:fldCharType="begin"/>
                  </w:r>
                  <w:r w:rsidRPr="00905832">
                    <w:rPr>
                      <w:sz w:val="25"/>
                      <w:szCs w:val="25"/>
                    </w:rPr>
                    <w:instrText xml:space="preserve"> BIBLIOGRAPHY </w:instrText>
                  </w:r>
                  <w:r w:rsidRPr="00905832">
                    <w:rPr>
                      <w:sz w:val="25"/>
                      <w:szCs w:val="25"/>
                    </w:rPr>
                    <w:fldChar w:fldCharType="separate"/>
                  </w:r>
                  <w:r w:rsidRPr="00905832">
                    <w:rPr>
                      <w:noProof/>
                      <w:sz w:val="25"/>
                      <w:szCs w:val="25"/>
                    </w:rPr>
                    <w:t xml:space="preserve">Hunter B. Fraser, Philipp Khaitovich, Joshua B. Plotkin, Svante Pääbo, Michael B. Eisen. </w:t>
                  </w:r>
                  <w:r w:rsidRPr="00905832">
                    <w:rPr>
                      <w:noProof/>
                      <w:sz w:val="25"/>
                      <w:szCs w:val="25"/>
                      <w:u w:val="single"/>
                    </w:rPr>
                    <w:t>PLOS.</w:t>
                  </w:r>
                  <w:r w:rsidRPr="00905832">
                    <w:rPr>
                      <w:noProof/>
                      <w:sz w:val="25"/>
                      <w:szCs w:val="25"/>
                    </w:rPr>
                    <w:t xml:space="preserve"> 3 october 2012 &lt;http://www.plosbiology.org/article/info%3Adoi%2F10.1371%2Fjournal.pbio.0030274&gt;.</w:t>
                  </w:r>
                </w:p>
                <w:p w:rsidR="00A05D77" w:rsidRPr="00905832" w:rsidRDefault="00A05D77" w:rsidP="00A05D77">
                  <w:pPr>
                    <w:rPr>
                      <w:sz w:val="25"/>
                      <w:szCs w:val="25"/>
                    </w:rPr>
                  </w:pPr>
                  <w:r w:rsidRPr="00905832">
                    <w:rPr>
                      <w:sz w:val="25"/>
                      <w:szCs w:val="25"/>
                    </w:rPr>
                    <w:fldChar w:fldCharType="end"/>
                  </w:r>
                </w:p>
              </w:sdtContent>
            </w:sdt>
          </w:sdtContent>
        </w:sdt>
        <w:p w:rsidR="00A05D77" w:rsidRPr="00905832" w:rsidRDefault="00A05D77" w:rsidP="00A05D77">
          <w:pPr>
            <w:pStyle w:val="Heading1"/>
            <w:rPr>
              <w:rFonts w:ascii="Times New Roman" w:hAnsi="Times New Roman" w:cs="Times New Roman"/>
              <w:sz w:val="25"/>
              <w:szCs w:val="25"/>
            </w:rPr>
          </w:pPr>
        </w:p>
        <w:p w:rsidR="00A05D77" w:rsidRPr="00905832" w:rsidRDefault="00A05D77" w:rsidP="00A05D77">
          <w:pPr>
            <w:rPr>
              <w:sz w:val="25"/>
              <w:szCs w:val="25"/>
              <w:lang w:eastAsia="en-US" w:bidi="en-US"/>
            </w:rPr>
          </w:pPr>
        </w:p>
      </w:sdtContent>
    </w:sdt>
    <w:p w:rsidR="00A05D77" w:rsidRPr="00905832" w:rsidRDefault="00A05D77" w:rsidP="00F52D26">
      <w:pPr>
        <w:spacing w:line="480" w:lineRule="auto"/>
        <w:rPr>
          <w:sz w:val="25"/>
          <w:szCs w:val="25"/>
        </w:rPr>
      </w:pPr>
      <w:r w:rsidRPr="00905832">
        <w:rPr>
          <w:sz w:val="25"/>
          <w:szCs w:val="25"/>
        </w:rPr>
        <w:t>http://jtrinh.yolasite.com/</w:t>
      </w:r>
    </w:p>
    <w:sectPr w:rsidR="00A05D77" w:rsidRPr="00905832" w:rsidSect="00E57A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7668"/>
    <w:rsid w:val="000473BB"/>
    <w:rsid w:val="000E386F"/>
    <w:rsid w:val="00130317"/>
    <w:rsid w:val="003B100C"/>
    <w:rsid w:val="00461B7D"/>
    <w:rsid w:val="005423AD"/>
    <w:rsid w:val="00557932"/>
    <w:rsid w:val="005927DA"/>
    <w:rsid w:val="007F04A8"/>
    <w:rsid w:val="00850339"/>
    <w:rsid w:val="00905832"/>
    <w:rsid w:val="00A05D77"/>
    <w:rsid w:val="00DA5C60"/>
    <w:rsid w:val="00E57AF0"/>
    <w:rsid w:val="00E9703A"/>
    <w:rsid w:val="00EE7668"/>
    <w:rsid w:val="00F52D26"/>
    <w:rsid w:val="00FF7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68"/>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A05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D26"/>
  </w:style>
  <w:style w:type="character" w:customStyle="1" w:styleId="Heading1Char">
    <w:name w:val="Heading 1 Char"/>
    <w:basedOn w:val="DefaultParagraphFont"/>
    <w:link w:val="Heading1"/>
    <w:uiPriority w:val="9"/>
    <w:rsid w:val="00A05D77"/>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A05D77"/>
    <w:rPr>
      <w:rFonts w:ascii="Tahoma" w:hAnsi="Tahoma" w:cs="Tahoma"/>
      <w:sz w:val="16"/>
      <w:szCs w:val="16"/>
    </w:rPr>
  </w:style>
  <w:style w:type="character" w:customStyle="1" w:styleId="BalloonTextChar">
    <w:name w:val="Balloon Text Char"/>
    <w:basedOn w:val="DefaultParagraphFont"/>
    <w:link w:val="BalloonText"/>
    <w:uiPriority w:val="99"/>
    <w:semiHidden/>
    <w:rsid w:val="00A05D77"/>
    <w:rPr>
      <w:rFonts w:ascii="Tahoma" w:eastAsia="SimSun" w:hAnsi="Tahoma" w:cs="Tahoma"/>
      <w:sz w:val="16"/>
      <w:szCs w:val="16"/>
      <w:lang w:eastAsia="zh-CN"/>
    </w:rPr>
  </w:style>
  <w:style w:type="paragraph" w:styleId="Bibliography">
    <w:name w:val="Bibliography"/>
    <w:basedOn w:val="Normal"/>
    <w:next w:val="Normal"/>
    <w:uiPriority w:val="37"/>
    <w:unhideWhenUsed/>
    <w:rsid w:val="00A05D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b:Source>
    <b:Tag>Hun12</b:Tag>
    <b:SourceType>InternetSite</b:SourceType>
    <b:Guid>{B717E7EB-CF8B-48E0-98BA-7195A054D9FD}</b:Guid>
    <b:LCID>0</b:LCID>
    <b:Author>
      <b:Author>
        <b:NameList>
          <b:Person>
            <b:Last>Hunter B. Fraser</b:Last>
            <b:First>Philipp</b:First>
            <b:Middle>Khaitovich, Joshua B. Plotkin, Svante Pääbo, Michael B. Eisen</b:Middle>
          </b:Person>
        </b:NameList>
      </b:Author>
    </b:Author>
    <b:Title>PLOS</b:Title>
    <b:YearAccessed>2012</b:YearAccessed>
    <b:MonthAccessed>october</b:MonthAccessed>
    <b:DayAccessed>3</b:DayAccessed>
    <b:URL>http://www.plosbiology.org/article/info%3Adoi%2F10.1371%2Fjournal.pbio.0030274</b:URL>
    <b:RefOrder>1</b:RefOrder>
  </b:Source>
</b:Sources>
</file>

<file path=customXml/itemProps1.xml><?xml version="1.0" encoding="utf-8"?>
<ds:datastoreItem xmlns:ds="http://schemas.openxmlformats.org/officeDocument/2006/customXml" ds:itemID="{1B7FDEE3-37F9-40BB-B8E6-371FE3FF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Jimmy</cp:lastModifiedBy>
  <cp:revision>6</cp:revision>
  <dcterms:created xsi:type="dcterms:W3CDTF">2012-10-16T16:56:00Z</dcterms:created>
  <dcterms:modified xsi:type="dcterms:W3CDTF">2012-11-13T18:34:00Z</dcterms:modified>
</cp:coreProperties>
</file>